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86" w:rsidRPr="00010AB7" w:rsidRDefault="00C608B6">
      <w:pPr>
        <w:pStyle w:val="2"/>
        <w:rPr>
          <w:rFonts w:ascii="楷体" w:eastAsia="楷体" w:hAnsi="楷体" w:cs="Stsong" w:hint="eastAsia"/>
          <w:color w:val="000000"/>
          <w:sz w:val="32"/>
        </w:rPr>
      </w:pPr>
      <w:r w:rsidRPr="00010AB7">
        <w:rPr>
          <w:rFonts w:ascii="楷体" w:eastAsia="楷体" w:hAnsi="楷体" w:cs="Stsong"/>
          <w:color w:val="000000"/>
          <w:sz w:val="32"/>
        </w:rPr>
        <w:t>股东竞业禁止协议</w:t>
      </w:r>
    </w:p>
    <w:p w:rsidR="00E96E86" w:rsidRPr="00010AB7" w:rsidRDefault="00C608B6">
      <w:pPr>
        <w:pStyle w:val="a3"/>
        <w:rPr>
          <w:rFonts w:ascii="楷体" w:eastAsia="楷体" w:hAnsi="楷体" w:cs="Stsong" w:hint="eastAsia"/>
          <w:b/>
          <w:color w:val="000000"/>
        </w:rPr>
      </w:pPr>
      <w:r w:rsidRPr="00010AB7">
        <w:rPr>
          <w:rFonts w:ascii="楷体" w:eastAsia="楷体" w:hAnsi="楷体" w:cs="Stsong"/>
          <w:b/>
          <w:color w:val="000000"/>
        </w:rPr>
        <w:t>甲方（公司）：</w:t>
      </w:r>
    </w:p>
    <w:p w:rsidR="00E96E86" w:rsidRPr="00010AB7" w:rsidRDefault="00C608B6">
      <w:pPr>
        <w:pStyle w:val="a3"/>
        <w:rPr>
          <w:rFonts w:ascii="楷体" w:eastAsia="楷体" w:hAnsi="楷体" w:cs="Stsong" w:hint="eastAsia"/>
          <w:color w:val="000000"/>
        </w:rPr>
      </w:pPr>
      <w:r w:rsidRPr="00010AB7">
        <w:rPr>
          <w:rFonts w:ascii="楷体" w:eastAsia="楷体" w:hAnsi="楷体" w:cs="Stsong"/>
          <w:color w:val="000000"/>
        </w:rPr>
        <w:t>法定代表人：</w:t>
      </w:r>
    </w:p>
    <w:p w:rsidR="00A779BF" w:rsidRPr="00010AB7" w:rsidRDefault="00A779BF">
      <w:pPr>
        <w:pStyle w:val="a3"/>
        <w:rPr>
          <w:rFonts w:ascii="楷体" w:eastAsia="楷体" w:hAnsi="楷体" w:cs="Stsong" w:hint="eastAsia"/>
          <w:color w:val="000000"/>
        </w:rPr>
      </w:pPr>
    </w:p>
    <w:p w:rsidR="00E96E86" w:rsidRPr="00010AB7" w:rsidRDefault="00C608B6">
      <w:pPr>
        <w:pStyle w:val="a3"/>
        <w:rPr>
          <w:rFonts w:ascii="楷体" w:eastAsia="楷体" w:hAnsi="楷体" w:cs="Stsong" w:hint="eastAsia"/>
          <w:b/>
          <w:color w:val="000000"/>
        </w:rPr>
      </w:pPr>
      <w:r w:rsidRPr="00010AB7">
        <w:rPr>
          <w:rFonts w:ascii="楷体" w:eastAsia="楷体" w:hAnsi="楷体" w:cs="Stsong"/>
          <w:b/>
          <w:color w:val="000000"/>
        </w:rPr>
        <w:t>乙方（股东）：</w:t>
      </w:r>
    </w:p>
    <w:p w:rsidR="00E96E86" w:rsidRPr="00010AB7" w:rsidRDefault="00C608B6">
      <w:pPr>
        <w:pStyle w:val="a3"/>
        <w:rPr>
          <w:rFonts w:ascii="楷体" w:eastAsia="楷体" w:hAnsi="楷体" w:cs="Stsong" w:hint="eastAsia"/>
          <w:color w:val="000000"/>
        </w:rPr>
      </w:pPr>
      <w:r w:rsidRPr="00010AB7">
        <w:rPr>
          <w:rFonts w:ascii="楷体" w:eastAsia="楷体" w:hAnsi="楷体" w:cs="Stsong"/>
          <w:color w:val="000000"/>
        </w:rPr>
        <w:t>身份证号：</w:t>
      </w:r>
    </w:p>
    <w:p w:rsidR="00A779BF" w:rsidRPr="00010AB7" w:rsidRDefault="00A779BF">
      <w:pPr>
        <w:pStyle w:val="a3"/>
        <w:rPr>
          <w:rFonts w:ascii="楷体" w:eastAsia="楷体" w:hAnsi="楷体" w:cs="Stsong" w:hint="eastAsia"/>
          <w:color w:val="000000"/>
        </w:rPr>
      </w:pP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鉴于乙方是公司的股东，掌握公司商业秘密，经过甲乙双方协商一致，签订以下竞业禁止协议：</w:t>
      </w: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第一条 竞业禁止</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1、竞业禁止：</w:t>
      </w:r>
      <w:proofErr w:type="gramStart"/>
      <w:r w:rsidRPr="00010AB7">
        <w:rPr>
          <w:rFonts w:ascii="楷体" w:eastAsia="楷体" w:hAnsi="楷体" w:cs="Stsong"/>
          <w:color w:val="000000"/>
        </w:rPr>
        <w:t>即竞业</w:t>
      </w:r>
      <w:proofErr w:type="gramEnd"/>
      <w:r w:rsidRPr="00010AB7">
        <w:rPr>
          <w:rFonts w:ascii="楷体" w:eastAsia="楷体" w:hAnsi="楷体" w:cs="Stsong"/>
          <w:color w:val="000000"/>
        </w:rPr>
        <w:t>行为的禁止，指不得从事与甲方相竞争的行业。</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2、甲方相竞争的行业：包括但不限于下列行业：</w:t>
      </w:r>
      <w:r w:rsidR="00A779BF"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Calibri" w:eastAsia="楷体" w:hAnsi="Calibri" w:cs="Calibri"/>
          <w:color w:val="000000"/>
        </w:rPr>
        <w:t> </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3、竞业行为包括：直接或间接地以个人名义或以一个企业的所有者、许可人、被许可人、本人、代理人、雇员、独立承包商、业主、合伙人、出租人、股东或董事或管理人员的身份或以其他任何名义，从事与甲方相竞争的行业。</w:t>
      </w:r>
    </w:p>
    <w:p w:rsidR="00A779BF" w:rsidRPr="00010AB7" w:rsidRDefault="00A779BF" w:rsidP="00A779BF">
      <w:pPr>
        <w:pStyle w:val="a3"/>
        <w:ind w:firstLineChars="200" w:firstLine="480"/>
        <w:rPr>
          <w:rFonts w:ascii="楷体" w:eastAsia="楷体" w:hAnsi="楷体" w:cs="Stsong" w:hint="eastAsia"/>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第二条 禁止期间、地域范围</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1、竞业禁止期间：乙方担任甲方股东期间以及完全退出股权之后的两年内。乙方股权比例有变化但仍为甲方股东的，仍需要履行竞业禁止义务。</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2、竞业禁止地域范围：中国境内（含港澳台）。</w:t>
      </w:r>
    </w:p>
    <w:p w:rsidR="00A779BF" w:rsidRPr="00010AB7" w:rsidRDefault="00A779BF" w:rsidP="00A779BF">
      <w:pPr>
        <w:pStyle w:val="a3"/>
        <w:ind w:firstLineChars="200" w:firstLine="480"/>
        <w:rPr>
          <w:rFonts w:ascii="楷体" w:eastAsia="楷体" w:hAnsi="楷体" w:cs="Stsong" w:hint="eastAsia"/>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第三条 乙方的承诺</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1、乙方承诺，竞业禁止期间，不得从事竞业行为。</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2、乙方不得向竞争对手提供任何服务或披露任何保密信息。</w:t>
      </w:r>
    </w:p>
    <w:p w:rsidR="00E96E86" w:rsidRPr="00010AB7" w:rsidRDefault="00A779BF"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3</w:t>
      </w:r>
      <w:r w:rsidR="00C608B6" w:rsidRPr="00010AB7">
        <w:rPr>
          <w:rFonts w:ascii="楷体" w:eastAsia="楷体" w:hAnsi="楷体" w:cs="Stsong"/>
          <w:color w:val="000000"/>
        </w:rPr>
        <w:t>、乙方在竞业禁止期间内不直接或间接地劝说、引诱、鼓励或以其他方式促使甲方公司或其关联公司的：</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（1）任何管理人员或雇员终止该等管理人员或雇员与公司或其关联公司的聘用关系；</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（2）任何客户、供应商、被许可人、许可人或与公司或其关联公司有实际或潜在业务关系的其他人或实体（包括任何潜在的客户、供应商或被许可人等）终止或以其他方式改变与公司或其关联公司的业务关系。</w:t>
      </w:r>
    </w:p>
    <w:p w:rsidR="00A779BF" w:rsidRPr="00010AB7" w:rsidRDefault="00A779BF" w:rsidP="00A779BF">
      <w:pPr>
        <w:pStyle w:val="a3"/>
        <w:ind w:firstLineChars="200" w:firstLine="480"/>
        <w:rPr>
          <w:rFonts w:ascii="楷体" w:eastAsia="楷体" w:hAnsi="楷体" w:cs="Stsong" w:hint="eastAsia"/>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lastRenderedPageBreak/>
        <w:t>第四条 违约责任</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1、乙方违反本合同约定的竞业禁止义务的，应赔偿甲方违约金</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w:t>
      </w:r>
      <w:r w:rsidRPr="00010AB7">
        <w:rPr>
          <w:rFonts w:ascii="Calibri" w:eastAsia="楷体" w:hAnsi="Calibri" w:cs="Calibri"/>
          <w:color w:val="000000"/>
          <w:u w:val="single"/>
        </w:rPr>
        <w:t>  </w:t>
      </w:r>
      <w:r w:rsidRPr="00010AB7">
        <w:rPr>
          <w:rFonts w:ascii="Calibri" w:eastAsia="楷体" w:hAnsi="Calibri" w:cs="Calibri"/>
          <w:color w:val="000000"/>
        </w:rPr>
        <w:t> </w:t>
      </w:r>
      <w:r w:rsidRPr="00010AB7">
        <w:rPr>
          <w:rFonts w:ascii="楷体" w:eastAsia="楷体" w:hAnsi="楷体" w:cs="Stsong"/>
          <w:color w:val="000000"/>
        </w:rPr>
        <w:t>万元。违约金不足以赔偿甲方损失的，还应赔偿甲方损失。</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2、甲方损失包括但不限于直接损失、可得利益损失、支付给第三方的赔偿费用/违约金/罚款、调查取证费用/公证费、诉讼费用、律师费用以及因此而支付的其他合理费用。</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3、乙方违反本协议约定取得收益的， 该收益应归甲方所有。</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4、乙方违反本协议约定的，经甲方通知仍不改正，或第二次以上违反的，甲方有权以甲方或甲方指定的其它股东名义回购乙方全部股权，回购价格为</w:t>
      </w:r>
      <w:proofErr w:type="gramStart"/>
      <w:r w:rsidRPr="00010AB7">
        <w:rPr>
          <w:rFonts w:ascii="楷体" w:eastAsia="楷体" w:hAnsi="楷体" w:cs="Stsong"/>
          <w:color w:val="000000"/>
        </w:rPr>
        <w:t>乙方原出资</w:t>
      </w:r>
      <w:proofErr w:type="gramEnd"/>
      <w:r w:rsidRPr="00010AB7">
        <w:rPr>
          <w:rFonts w:ascii="楷体" w:eastAsia="楷体" w:hAnsi="楷体" w:cs="Stsong"/>
          <w:color w:val="000000"/>
        </w:rPr>
        <w:t>金额，并要求乙方将股权变更到甲方指定的其它股东名下。</w:t>
      </w:r>
    </w:p>
    <w:p w:rsidR="00A779BF" w:rsidRPr="00010AB7" w:rsidRDefault="00A779BF" w:rsidP="00A779BF">
      <w:pPr>
        <w:pStyle w:val="a3"/>
        <w:ind w:firstLineChars="200" w:firstLine="480"/>
        <w:rPr>
          <w:rFonts w:ascii="楷体" w:eastAsia="楷体" w:hAnsi="楷体" w:cs="Stsong" w:hint="eastAsia"/>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第五条 其它说明</w:t>
      </w:r>
      <w:bookmarkStart w:id="0" w:name="_GoBack"/>
      <w:bookmarkEnd w:id="0"/>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因乙方是甲方股东，就乙方履行本协议约定的保密与竞业禁止义务，甲方无需向乙方支付任何补偿。</w:t>
      </w:r>
    </w:p>
    <w:p w:rsidR="00A779BF" w:rsidRPr="00010AB7" w:rsidRDefault="00A779BF" w:rsidP="00A779BF">
      <w:pPr>
        <w:pStyle w:val="a3"/>
        <w:ind w:firstLineChars="200" w:firstLine="480"/>
        <w:rPr>
          <w:rFonts w:ascii="楷体" w:eastAsia="楷体" w:hAnsi="楷体" w:cs="Stsong" w:hint="eastAsia"/>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第六条 争议解决</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因本合同引起的或与本合同有关的任何争议，由合同各方协商解决，也可由有关部门调解。协商或调解不成的，应向</w:t>
      </w:r>
      <w:r w:rsidRPr="00010AB7">
        <w:rPr>
          <w:rFonts w:ascii="Calibri" w:eastAsia="楷体" w:hAnsi="Calibri" w:cs="Calibri"/>
          <w:color w:val="000000"/>
          <w:u w:val="single"/>
        </w:rPr>
        <w:t> </w:t>
      </w:r>
      <w:r w:rsidRPr="00010AB7">
        <w:rPr>
          <w:rFonts w:ascii="楷体" w:eastAsia="楷体" w:hAnsi="楷体" w:cs="Stsong"/>
          <w:color w:val="000000"/>
          <w:u w:val="single"/>
        </w:rPr>
        <w:t xml:space="preserve"> 甲方</w:t>
      </w:r>
      <w:r w:rsidRPr="00010AB7">
        <w:rPr>
          <w:rFonts w:ascii="Calibri" w:eastAsia="楷体" w:hAnsi="Calibri" w:cs="Calibri"/>
          <w:color w:val="000000"/>
          <w:u w:val="single"/>
        </w:rPr>
        <w:t> </w:t>
      </w:r>
      <w:r w:rsidRPr="00010AB7">
        <w:rPr>
          <w:rFonts w:ascii="Calibri" w:eastAsia="楷体" w:hAnsi="Calibri" w:cs="Calibri"/>
          <w:color w:val="000000"/>
        </w:rPr>
        <w:t> </w:t>
      </w:r>
      <w:r w:rsidRPr="00010AB7">
        <w:rPr>
          <w:rFonts w:ascii="楷体" w:eastAsia="楷体" w:hAnsi="楷体" w:cs="Stsong"/>
          <w:color w:val="000000"/>
        </w:rPr>
        <w:t>所在地有管辖权的人民法院起诉。</w:t>
      </w:r>
    </w:p>
    <w:p w:rsidR="00A779BF" w:rsidRPr="00010AB7" w:rsidRDefault="00A779BF" w:rsidP="00A779BF">
      <w:pPr>
        <w:pStyle w:val="a3"/>
        <w:ind w:firstLineChars="200" w:firstLine="482"/>
        <w:rPr>
          <w:rFonts w:ascii="楷体" w:eastAsia="楷体" w:hAnsi="楷体" w:cs="Stsong" w:hint="eastAsia"/>
          <w:b/>
          <w:color w:val="000000"/>
        </w:rPr>
      </w:pPr>
    </w:p>
    <w:p w:rsidR="00E96E86" w:rsidRPr="00010AB7" w:rsidRDefault="00C608B6" w:rsidP="00A779BF">
      <w:pPr>
        <w:pStyle w:val="a3"/>
        <w:ind w:firstLineChars="200" w:firstLine="482"/>
        <w:rPr>
          <w:rFonts w:ascii="楷体" w:eastAsia="楷体" w:hAnsi="楷体" w:cs="Stsong" w:hint="eastAsia"/>
          <w:b/>
          <w:color w:val="000000"/>
        </w:rPr>
      </w:pPr>
      <w:r w:rsidRPr="00010AB7">
        <w:rPr>
          <w:rFonts w:ascii="楷体" w:eastAsia="楷体" w:hAnsi="楷体" w:cs="Stsong"/>
          <w:b/>
          <w:color w:val="000000"/>
        </w:rPr>
        <w:t>第七条 附则</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1、本协议一式二份，协议各方各执一份。各</w:t>
      </w:r>
      <w:proofErr w:type="gramStart"/>
      <w:r w:rsidRPr="00010AB7">
        <w:rPr>
          <w:rFonts w:ascii="楷体" w:eastAsia="楷体" w:hAnsi="楷体" w:cs="Stsong"/>
          <w:color w:val="000000"/>
        </w:rPr>
        <w:t>份协议</w:t>
      </w:r>
      <w:proofErr w:type="gramEnd"/>
      <w:r w:rsidRPr="00010AB7">
        <w:rPr>
          <w:rFonts w:ascii="楷体" w:eastAsia="楷体" w:hAnsi="楷体" w:cs="Stsong"/>
          <w:color w:val="000000"/>
        </w:rPr>
        <w:t>文本具有同等法律效力。</w:t>
      </w:r>
    </w:p>
    <w:p w:rsidR="00E96E86" w:rsidRPr="00010AB7" w:rsidRDefault="00C608B6" w:rsidP="00A779BF">
      <w:pPr>
        <w:pStyle w:val="a3"/>
        <w:ind w:firstLineChars="200" w:firstLine="480"/>
        <w:rPr>
          <w:rFonts w:ascii="楷体" w:eastAsia="楷体" w:hAnsi="楷体" w:cs="Stsong" w:hint="eastAsia"/>
          <w:color w:val="000000"/>
        </w:rPr>
      </w:pPr>
      <w:r w:rsidRPr="00010AB7">
        <w:rPr>
          <w:rFonts w:ascii="楷体" w:eastAsia="楷体" w:hAnsi="楷体" w:cs="Stsong"/>
          <w:color w:val="000000"/>
        </w:rPr>
        <w:t>2、本协议经各方签署后生效。</w:t>
      </w:r>
    </w:p>
    <w:p w:rsidR="00E96E86" w:rsidRPr="00010AB7" w:rsidRDefault="00C608B6">
      <w:pPr>
        <w:pStyle w:val="a3"/>
        <w:rPr>
          <w:rFonts w:ascii="楷体" w:eastAsia="楷体" w:hAnsi="楷体" w:cs="Stsong" w:hint="eastAsia"/>
          <w:color w:val="000000"/>
        </w:rPr>
      </w:pPr>
      <w:r w:rsidRPr="00010AB7">
        <w:rPr>
          <w:rFonts w:ascii="Calibri" w:eastAsia="楷体" w:hAnsi="Calibri" w:cs="Calibri"/>
          <w:color w:val="000000"/>
        </w:rPr>
        <w:t> </w:t>
      </w:r>
    </w:p>
    <w:p w:rsidR="00E96E86" w:rsidRPr="00010AB7" w:rsidRDefault="00C608B6">
      <w:pPr>
        <w:pStyle w:val="a3"/>
        <w:rPr>
          <w:rFonts w:ascii="楷体" w:eastAsia="楷体" w:hAnsi="楷体" w:cs="Stsong" w:hint="eastAsia"/>
          <w:color w:val="000000"/>
        </w:rPr>
      </w:pPr>
      <w:r w:rsidRPr="00010AB7">
        <w:rPr>
          <w:rFonts w:ascii="Calibri" w:eastAsia="楷体" w:hAnsi="Calibri" w:cs="Calibri"/>
          <w:color w:val="000000"/>
        </w:rPr>
        <w:t> </w:t>
      </w:r>
    </w:p>
    <w:p w:rsidR="00E96E86" w:rsidRPr="00010AB7" w:rsidRDefault="00C608B6">
      <w:pPr>
        <w:pStyle w:val="a3"/>
        <w:rPr>
          <w:rFonts w:ascii="楷体" w:eastAsia="楷体" w:hAnsi="楷体" w:cs="Stsong" w:hint="eastAsia"/>
          <w:color w:val="000000"/>
        </w:rPr>
      </w:pPr>
      <w:r w:rsidRPr="00010AB7">
        <w:rPr>
          <w:rFonts w:ascii="楷体" w:eastAsia="楷体" w:hAnsi="楷体" w:cs="Stsong"/>
          <w:b/>
          <w:color w:val="000000"/>
        </w:rPr>
        <w:t>甲方（盖章）：</w:t>
      </w:r>
    </w:p>
    <w:p w:rsidR="00E96E86" w:rsidRPr="00010AB7" w:rsidRDefault="00C608B6">
      <w:pPr>
        <w:pStyle w:val="a3"/>
        <w:rPr>
          <w:rFonts w:ascii="楷体" w:eastAsia="楷体" w:hAnsi="楷体" w:cs="Stsong" w:hint="eastAsia"/>
          <w:color w:val="000000"/>
        </w:rPr>
      </w:pPr>
      <w:r w:rsidRPr="00010AB7">
        <w:rPr>
          <w:rFonts w:ascii="Calibri" w:eastAsia="楷体" w:hAnsi="Calibri" w:cs="Calibri"/>
          <w:color w:val="000000"/>
        </w:rPr>
        <w:t> </w:t>
      </w:r>
    </w:p>
    <w:p w:rsidR="00E96E86" w:rsidRPr="00010AB7" w:rsidRDefault="00C608B6">
      <w:pPr>
        <w:pStyle w:val="a3"/>
        <w:rPr>
          <w:rFonts w:ascii="楷体" w:eastAsia="楷体" w:hAnsi="楷体" w:cs="Stsong" w:hint="eastAsia"/>
          <w:b/>
          <w:color w:val="000000"/>
        </w:rPr>
      </w:pPr>
      <w:r w:rsidRPr="00010AB7">
        <w:rPr>
          <w:rFonts w:ascii="楷体" w:eastAsia="楷体" w:hAnsi="楷体" w:cs="Stsong"/>
          <w:b/>
          <w:color w:val="000000"/>
        </w:rPr>
        <w:t>乙方（签字）：</w:t>
      </w:r>
    </w:p>
    <w:p w:rsidR="00A779BF" w:rsidRPr="00010AB7" w:rsidRDefault="00A779BF">
      <w:pPr>
        <w:pStyle w:val="a3"/>
        <w:rPr>
          <w:rFonts w:ascii="楷体" w:eastAsia="楷体" w:hAnsi="楷体" w:cs="Stsong" w:hint="eastAsia"/>
          <w:color w:val="000000"/>
        </w:rPr>
      </w:pPr>
    </w:p>
    <w:p w:rsidR="00A779BF" w:rsidRPr="00010AB7" w:rsidRDefault="00A779BF" w:rsidP="00A779BF">
      <w:pPr>
        <w:pStyle w:val="a3"/>
        <w:rPr>
          <w:rFonts w:ascii="楷体" w:eastAsia="楷体" w:hAnsi="楷体" w:cs="Stsong" w:hint="eastAsia"/>
          <w:b/>
          <w:color w:val="000000"/>
        </w:rPr>
      </w:pPr>
      <w:r w:rsidRPr="00010AB7">
        <w:rPr>
          <w:rFonts w:ascii="楷体" w:eastAsia="楷体" w:hAnsi="楷体" w:cs="Stsong"/>
          <w:b/>
          <w:color w:val="000000"/>
        </w:rPr>
        <w:t xml:space="preserve">签署时间：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年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月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 xml:space="preserve"> </w:t>
      </w:r>
      <w:r w:rsidRPr="00010AB7">
        <w:rPr>
          <w:rFonts w:ascii="Calibri" w:eastAsia="楷体" w:hAnsi="Calibri" w:cs="Calibri"/>
          <w:b/>
          <w:color w:val="000000"/>
        </w:rPr>
        <w:t> </w:t>
      </w:r>
      <w:r w:rsidRPr="00010AB7">
        <w:rPr>
          <w:rFonts w:ascii="楷体" w:eastAsia="楷体" w:hAnsi="楷体" w:cs="Stsong"/>
          <w:b/>
          <w:color w:val="000000"/>
        </w:rPr>
        <w:t>日</w:t>
      </w:r>
    </w:p>
    <w:p w:rsidR="00A779BF" w:rsidRPr="00010AB7" w:rsidRDefault="00A779BF">
      <w:pPr>
        <w:pStyle w:val="a3"/>
        <w:rPr>
          <w:rFonts w:ascii="楷体" w:eastAsia="楷体" w:hAnsi="楷体" w:cs="Stsong" w:hint="eastAsia"/>
          <w:color w:val="000000"/>
        </w:rPr>
      </w:pPr>
    </w:p>
    <w:sectPr w:rsidR="00A779BF" w:rsidRPr="00010AB7">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FB" w:rsidRDefault="00852FFB" w:rsidP="00A779BF">
      <w:r>
        <w:separator/>
      </w:r>
    </w:p>
  </w:endnote>
  <w:endnote w:type="continuationSeparator" w:id="0">
    <w:p w:rsidR="00852FFB" w:rsidRDefault="00852FFB" w:rsidP="00A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Stsong">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233294"/>
      <w:docPartObj>
        <w:docPartGallery w:val="Page Numbers (Bottom of Page)"/>
        <w:docPartUnique/>
      </w:docPartObj>
    </w:sdtPr>
    <w:sdtEndPr/>
    <w:sdtContent>
      <w:sdt>
        <w:sdtPr>
          <w:id w:val="1728636285"/>
          <w:docPartObj>
            <w:docPartGallery w:val="Page Numbers (Top of Page)"/>
            <w:docPartUnique/>
          </w:docPartObj>
        </w:sdtPr>
        <w:sdtEndPr/>
        <w:sdtContent>
          <w:p w:rsidR="00A779BF" w:rsidRDefault="00A779B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10AB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0AB7">
              <w:rPr>
                <w:b/>
                <w:bCs/>
                <w:noProof/>
              </w:rPr>
              <w:t>2</w:t>
            </w:r>
            <w:r>
              <w:rPr>
                <w:b/>
                <w:bCs/>
                <w:sz w:val="24"/>
                <w:szCs w:val="24"/>
              </w:rPr>
              <w:fldChar w:fldCharType="end"/>
            </w:r>
          </w:p>
        </w:sdtContent>
      </w:sdt>
    </w:sdtContent>
  </w:sdt>
  <w:p w:rsidR="00A779BF" w:rsidRDefault="00A779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FB" w:rsidRDefault="00852FFB" w:rsidP="00A779BF">
      <w:r>
        <w:separator/>
      </w:r>
    </w:p>
  </w:footnote>
  <w:footnote w:type="continuationSeparator" w:id="0">
    <w:p w:rsidR="00852FFB" w:rsidRDefault="00852FFB" w:rsidP="00A7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86"/>
    <w:rsid w:val="00010AB7"/>
    <w:rsid w:val="00852FFB"/>
    <w:rsid w:val="00A779BF"/>
    <w:rsid w:val="00C608B6"/>
    <w:rsid w:val="00E9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32B55-C3E7-4391-8981-3E344EC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2">
    <w:name w:val="heading 2"/>
    <w:basedOn w:val="a"/>
    <w:next w:val="a"/>
    <w:uiPriority w:val="9"/>
    <w:qFormat/>
    <w:pPr>
      <w:keepLines/>
      <w:spacing w:before="280" w:after="280"/>
      <w:jc w:val="center"/>
      <w:outlineLvl w:val="1"/>
    </w:pPr>
    <w:rPr>
      <w:rFonts w:asciiTheme="majorHAnsi" w:hAnsiTheme="majorHAnsi" w:cs="Cambria"/>
      <w:b/>
      <w:color w:val="4F81BD" w:themeColor="accent1"/>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focus">
    <w:name w:val="focus"/>
    <w:basedOn w:val="a"/>
  </w:style>
  <w:style w:type="paragraph" w:customStyle="1" w:styleId="focus-hover">
    <w:name w:val="focus-hover"/>
    <w:basedOn w:val="a"/>
  </w:style>
  <w:style w:type="paragraph" w:customStyle="1" w:styleId="mce-edit-focus">
    <w:name w:val="mce-edit-focus"/>
    <w:basedOn w:val="a"/>
  </w:style>
  <w:style w:type="paragraph" w:customStyle="1" w:styleId="mce-i-none">
    <w:name w:val="mce-i-none"/>
    <w:basedOn w:val="a"/>
  </w:style>
  <w:style w:type="paragraph" w:customStyle="1" w:styleId="mce-item-anchor">
    <w:name w:val="mce-item-anchor"/>
    <w:basedOn w:val="a"/>
  </w:style>
  <w:style w:type="paragraph" w:customStyle="1" w:styleId="mce-item-table">
    <w:name w:val="mce-item-table"/>
    <w:basedOn w:val="a"/>
    <w:pPr>
      <w:ind w:left="-750" w:right="-750"/>
    </w:pPr>
  </w:style>
  <w:style w:type="paragraph" w:customStyle="1" w:styleId="mce-match-marker">
    <w:name w:val="mce-match-marker"/>
    <w:basedOn w:val="a"/>
    <w:rPr>
      <w:color w:val="FFFFFF"/>
    </w:rPr>
  </w:style>
  <w:style w:type="paragraph" w:customStyle="1" w:styleId="mce-match-marker-selected">
    <w:name w:val="mce-match-marker-selected"/>
    <w:basedOn w:val="a"/>
    <w:rPr>
      <w:color w:val="FFFFFF"/>
    </w:rPr>
  </w:style>
  <w:style w:type="paragraph" w:customStyle="1" w:styleId="mce-nbsp">
    <w:name w:val="mce-nbsp"/>
    <w:basedOn w:val="a"/>
  </w:style>
  <w:style w:type="paragraph" w:customStyle="1" w:styleId="mce-object">
    <w:name w:val="mce-object"/>
    <w:basedOn w:val="a"/>
  </w:style>
  <w:style w:type="paragraph" w:customStyle="1" w:styleId="mce-pagebreak">
    <w:name w:val="mce-pagebreak"/>
    <w:basedOn w:val="a"/>
    <w:pPr>
      <w:spacing w:before="225"/>
    </w:pPr>
  </w:style>
  <w:style w:type="paragraph" w:customStyle="1" w:styleId="mce-preview-object">
    <w:name w:val="mce-preview-object"/>
    <w:basedOn w:val="a"/>
    <w:pPr>
      <w:spacing w:line="0" w:lineRule="auto"/>
    </w:pPr>
  </w:style>
  <w:style w:type="paragraph" w:customStyle="1" w:styleId="mce-resize-bar-dragging">
    <w:name w:val="mce-resize-bar-dragging"/>
    <w:basedOn w:val="a"/>
    <w:pPr>
      <w:shd w:val="clear" w:color="auto" w:fill="0000FF"/>
    </w:pPr>
    <w:rPr>
      <w:shd w:val="clear" w:color="auto" w:fill="0000FF"/>
    </w:rPr>
  </w:style>
  <w:style w:type="paragraph" w:customStyle="1" w:styleId="mce-shy">
    <w:name w:val="mce-shy"/>
    <w:basedOn w:val="a"/>
  </w:style>
  <w:style w:type="paragraph" w:customStyle="1" w:styleId="mce-spellchecker-grammar">
    <w:name w:val="mce-spellchecker-grammar"/>
    <w:basedOn w:val="a"/>
  </w:style>
  <w:style w:type="paragraph" w:customStyle="1" w:styleId="mce-spellchecker-word">
    <w:name w:val="mce-spellchecker-word"/>
    <w:basedOn w:val="a"/>
  </w:style>
  <w:style w:type="paragraph" w:customStyle="1" w:styleId="mce-toc">
    <w:name w:val="mce-toc"/>
    <w:basedOn w:val="a"/>
  </w:style>
  <w:style w:type="paragraph" w:customStyle="1" w:styleId="text-indent">
    <w:name w:val="text-indent"/>
    <w:basedOn w:val="a"/>
    <w:pPr>
      <w:ind w:firstLine="30"/>
    </w:pPr>
  </w:style>
  <w:style w:type="paragraph" w:styleId="a3">
    <w:name w:val="Normal (Web)"/>
    <w:basedOn w:val="a"/>
    <w:uiPriority w:val="99"/>
    <w:pPr>
      <w:spacing w:before="90"/>
    </w:pPr>
  </w:style>
  <w:style w:type="paragraph" w:styleId="a4">
    <w:name w:val="header"/>
    <w:basedOn w:val="a"/>
    <w:link w:val="a5"/>
    <w:uiPriority w:val="99"/>
    <w:unhideWhenUsed/>
    <w:rsid w:val="00A779B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779BF"/>
    <w:rPr>
      <w:sz w:val="18"/>
      <w:szCs w:val="18"/>
    </w:rPr>
  </w:style>
  <w:style w:type="paragraph" w:styleId="a6">
    <w:name w:val="footer"/>
    <w:basedOn w:val="a"/>
    <w:link w:val="a7"/>
    <w:uiPriority w:val="99"/>
    <w:unhideWhenUsed/>
    <w:rsid w:val="00A779BF"/>
    <w:pPr>
      <w:tabs>
        <w:tab w:val="center" w:pos="4153"/>
        <w:tab w:val="right" w:pos="8306"/>
      </w:tabs>
      <w:snapToGrid w:val="0"/>
    </w:pPr>
    <w:rPr>
      <w:sz w:val="18"/>
      <w:szCs w:val="18"/>
    </w:rPr>
  </w:style>
  <w:style w:type="character" w:customStyle="1" w:styleId="a7">
    <w:name w:val="页脚 字符"/>
    <w:basedOn w:val="a0"/>
    <w:link w:val="a6"/>
    <w:uiPriority w:val="99"/>
    <w:rsid w:val="00A779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xindan wu</cp:lastModifiedBy>
  <cp:revision>3</cp:revision>
  <dcterms:created xsi:type="dcterms:W3CDTF">2017-12-19T09:47:00Z</dcterms:created>
  <dcterms:modified xsi:type="dcterms:W3CDTF">2017-12-19T09:51:00Z</dcterms:modified>
</cp:coreProperties>
</file>